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9F1" w:rsidRDefault="00FE69F1" w:rsidP="00FE69F1">
      <w:pPr>
        <w:rPr>
          <w:rFonts w:eastAsia="Calibri" w:cs="Times New Roman"/>
          <w:noProof/>
          <w:lang w:eastAsia="es-ES"/>
        </w:rPr>
      </w:pPr>
      <w:r>
        <w:rPr>
          <w:rFonts w:eastAsia="Calibri" w:cs="Times New Roman"/>
          <w:noProof/>
          <w:lang w:eastAsia="es-ES"/>
        </w:rPr>
        <w:t>Los diputados de Enric Barrena, de Compromís y Juantxo López de Uralde, de Unidos Podemos han presentado esta mañana una Proposición No de Ley para i</w:t>
      </w:r>
      <w:r w:rsidRPr="00FE69F1">
        <w:rPr>
          <w:rFonts w:eastAsia="Calibri" w:cs="Times New Roman"/>
          <w:noProof/>
          <w:lang w:eastAsia="es-ES"/>
        </w:rPr>
        <w:t>mpulsar la puesta en marcha de sistemas</w:t>
      </w:r>
      <w:r>
        <w:rPr>
          <w:rFonts w:eastAsia="Calibri" w:cs="Times New Roman"/>
          <w:noProof/>
          <w:lang w:eastAsia="es-ES"/>
        </w:rPr>
        <w:t xml:space="preserve"> complementarios al actual SIG (Sistema Integrado de Gestión), c</w:t>
      </w:r>
      <w:r w:rsidRPr="00FE69F1">
        <w:rPr>
          <w:rFonts w:eastAsia="Calibri" w:cs="Times New Roman"/>
          <w:noProof/>
          <w:lang w:eastAsia="es-ES"/>
        </w:rPr>
        <w:t xml:space="preserve">omo el sistema de depósito y devolución y retorno de envases (SDDR) que hoy está ya vigente en más de </w:t>
      </w:r>
      <w:r>
        <w:rPr>
          <w:rFonts w:eastAsia="Calibri" w:cs="Times New Roman"/>
          <w:noProof/>
          <w:lang w:eastAsia="es-ES"/>
        </w:rPr>
        <w:t xml:space="preserve">40 países y regiones del mundo, </w:t>
      </w:r>
      <w:r w:rsidRPr="00FE69F1">
        <w:rPr>
          <w:rFonts w:eastAsia="Calibri" w:cs="Times New Roman"/>
          <w:noProof/>
          <w:lang w:eastAsia="es-ES"/>
        </w:rPr>
        <w:t>entre ellos los más avanzados económic</w:t>
      </w:r>
      <w:r>
        <w:rPr>
          <w:rFonts w:eastAsia="Calibri" w:cs="Times New Roman"/>
          <w:noProof/>
          <w:lang w:eastAsia="es-ES"/>
        </w:rPr>
        <w:t xml:space="preserve">a, social y medioambientalmente. </w:t>
      </w:r>
    </w:p>
    <w:p w:rsidR="00FE69F1" w:rsidRDefault="00FE69F1" w:rsidP="00FE69F1">
      <w:pPr>
        <w:jc w:val="both"/>
        <w:rPr>
          <w:rFonts w:eastAsia="Calibri" w:cs="Times New Roman"/>
          <w:noProof/>
          <w:lang w:eastAsia="es-ES"/>
        </w:rPr>
      </w:pPr>
      <w:r>
        <w:rPr>
          <w:rFonts w:eastAsia="Calibri" w:cs="Times New Roman"/>
          <w:noProof/>
          <w:lang w:eastAsia="es-ES"/>
        </w:rPr>
        <w:t xml:space="preserve">Frente al SIG, en el que los envasadores de los productos financian la recogida de los envases mediante convenios con los municipios, el SDDR es el comprador quien paga una parte en concepto de depósito que recupera al devolver el envase. El SDDR mejora </w:t>
      </w:r>
      <w:r w:rsidRPr="00FE69F1">
        <w:rPr>
          <w:rFonts w:eastAsia="Calibri" w:cs="Times New Roman"/>
          <w:noProof/>
          <w:lang w:eastAsia="es-ES"/>
        </w:rPr>
        <w:t xml:space="preserve">los resultados que el actual modelo SIG presenta </w:t>
      </w:r>
      <w:r>
        <w:rPr>
          <w:rFonts w:eastAsia="Calibri" w:cs="Times New Roman"/>
          <w:noProof/>
          <w:lang w:eastAsia="es-ES"/>
        </w:rPr>
        <w:t xml:space="preserve">en concepto de </w:t>
      </w:r>
      <w:r w:rsidRPr="00FE69F1">
        <w:rPr>
          <w:rFonts w:eastAsia="Calibri" w:cs="Times New Roman"/>
          <w:noProof/>
          <w:lang w:eastAsia="es-ES"/>
        </w:rPr>
        <w:t xml:space="preserve">reutilización y el reciclaje, </w:t>
      </w:r>
      <w:r>
        <w:rPr>
          <w:rFonts w:eastAsia="Calibri" w:cs="Times New Roman"/>
          <w:noProof/>
          <w:lang w:eastAsia="es-ES"/>
        </w:rPr>
        <w:t xml:space="preserve">y al mismo tiempo </w:t>
      </w:r>
      <w:r w:rsidRPr="00FE69F1">
        <w:rPr>
          <w:rFonts w:eastAsia="Calibri" w:cs="Times New Roman"/>
          <w:noProof/>
          <w:lang w:eastAsia="es-ES"/>
        </w:rPr>
        <w:t xml:space="preserve">evitan la contaminación y la suciedad en </w:t>
      </w:r>
      <w:r>
        <w:rPr>
          <w:rFonts w:eastAsia="Calibri" w:cs="Times New Roman"/>
          <w:noProof/>
          <w:lang w:eastAsia="es-ES"/>
        </w:rPr>
        <w:t>el</w:t>
      </w:r>
      <w:r w:rsidRPr="00FE69F1">
        <w:rPr>
          <w:rFonts w:eastAsia="Calibri" w:cs="Times New Roman"/>
          <w:noProof/>
          <w:lang w:eastAsia="es-ES"/>
        </w:rPr>
        <w:t xml:space="preserve"> entorno, muy especialmente en el mar, donde los envases contaminan de manera grave e irreversible.</w:t>
      </w:r>
    </w:p>
    <w:p w:rsidR="00FE69F1" w:rsidRDefault="00FE69F1" w:rsidP="00FE69F1">
      <w:pPr>
        <w:jc w:val="both"/>
        <w:rPr>
          <w:iCs/>
          <w:sz w:val="24"/>
          <w:szCs w:val="24"/>
        </w:rPr>
      </w:pPr>
      <w:r>
        <w:rPr>
          <w:rFonts w:eastAsia="Calibri" w:cs="Times New Roman"/>
          <w:noProof/>
          <w:lang w:eastAsia="es-ES"/>
        </w:rPr>
        <w:t xml:space="preserve">Este sistema, además consigue una mayor sensibilización de </w:t>
      </w:r>
      <w:r w:rsidRPr="00FE69F1">
        <w:rPr>
          <w:rFonts w:eastAsia="Calibri" w:cs="Times New Roman"/>
          <w:noProof/>
          <w:lang w:eastAsia="es-ES"/>
        </w:rPr>
        <w:t>la población y a los agentes comerciales y económicos, para contribuir a los objetivos de prevención de la contaminación, evitar el agotamiento de recursos y luchar contra el cambio climático, potenciando una distribución y un consumo responsables</w:t>
      </w:r>
      <w:r>
        <w:rPr>
          <w:iCs/>
          <w:sz w:val="24"/>
          <w:szCs w:val="24"/>
        </w:rPr>
        <w:t>.</w:t>
      </w:r>
    </w:p>
    <w:p w:rsidR="00FE69F1" w:rsidRPr="00FE69F1" w:rsidRDefault="00FE69F1" w:rsidP="00FE69F1">
      <w:pPr>
        <w:jc w:val="both"/>
        <w:rPr>
          <w:rFonts w:eastAsia="Calibri" w:cs="Times New Roman"/>
          <w:noProof/>
          <w:lang w:eastAsia="es-ES"/>
        </w:rPr>
      </w:pPr>
      <w:r w:rsidRPr="00FE69F1">
        <w:rPr>
          <w:rFonts w:eastAsia="Calibri" w:cs="Times New Roman"/>
          <w:noProof/>
          <w:lang w:eastAsia="es-ES"/>
        </w:rPr>
        <w:t>"Las basuras siguen siendo un problema sin resolver y su vertido sigue generando un impacto ambiental de primer orden: Desd</w:t>
      </w:r>
      <w:r>
        <w:rPr>
          <w:rFonts w:eastAsia="Calibri" w:cs="Times New Roman"/>
          <w:noProof/>
          <w:lang w:eastAsia="es-ES"/>
        </w:rPr>
        <w:t>e el plástico que contamina el Á</w:t>
      </w:r>
      <w:r w:rsidRPr="00FE69F1">
        <w:rPr>
          <w:rFonts w:eastAsia="Calibri" w:cs="Times New Roman"/>
          <w:noProof/>
          <w:lang w:eastAsia="es-ES"/>
        </w:rPr>
        <w:t>rtico, a los humos de las incineradoras. La política de residuos no avanza y cada vez estamos más</w:t>
      </w:r>
      <w:r w:rsidRPr="00FE69F1">
        <w:rPr>
          <w:rFonts w:eastAsia="Calibri" w:cs="Times New Roman"/>
          <w:noProof/>
          <w:lang w:eastAsia="es-ES"/>
        </w:rPr>
        <w:br/>
        <w:t>Inundados de basuras; por eso necesita innovarse para alcanzar mayor eficacia. Con esta propuesta queremos que el Gobierno impulse el sistema de devolución de envases en todo el país para avanzar hacia un modelo circular del que ahora mismo estamos tan alejados."</w:t>
      </w:r>
    </w:p>
    <w:p w:rsidR="00FE69F1" w:rsidRDefault="00FE69F1" w:rsidP="00FE69F1">
      <w:pPr>
        <w:rPr>
          <w:b/>
          <w:sz w:val="24"/>
          <w:szCs w:val="24"/>
        </w:rPr>
      </w:pPr>
    </w:p>
    <w:p w:rsidR="00FE69F1" w:rsidRPr="00F22B8D" w:rsidRDefault="00FE69F1" w:rsidP="00FE69F1">
      <w:pPr>
        <w:rPr>
          <w:b/>
          <w:sz w:val="24"/>
          <w:szCs w:val="24"/>
        </w:rPr>
      </w:pPr>
    </w:p>
    <w:p w:rsidR="00FE69F1" w:rsidRDefault="00FE69F1" w:rsidP="00FE69F1">
      <w:pPr>
        <w:jc w:val="center"/>
        <w:rPr>
          <w:sz w:val="24"/>
          <w:szCs w:val="24"/>
        </w:rPr>
      </w:pPr>
      <w:r>
        <w:rPr>
          <w:b/>
          <w:sz w:val="24"/>
          <w:szCs w:val="24"/>
          <w:u w:val="single"/>
        </w:rPr>
        <w:t xml:space="preserve">A LA MESA DEL CONGRESO DE LOS DIPUTADOS </w:t>
      </w:r>
    </w:p>
    <w:p w:rsidR="00FE69F1" w:rsidRDefault="00FE69F1" w:rsidP="00FE69F1">
      <w:pPr>
        <w:jc w:val="both"/>
        <w:rPr>
          <w:b/>
          <w:sz w:val="24"/>
          <w:szCs w:val="24"/>
        </w:rPr>
      </w:pPr>
      <w:r>
        <w:rPr>
          <w:sz w:val="24"/>
          <w:szCs w:val="24"/>
        </w:rPr>
        <w:t xml:space="preserve">El Grupo Parlamentario </w:t>
      </w:r>
      <w:r>
        <w:rPr>
          <w:bCs/>
          <w:sz w:val="24"/>
          <w:szCs w:val="24"/>
        </w:rPr>
        <w:t>CONFEDERAL DE UNIDOS PODEMOS-EN COMÚ PODEM-EN MAREA</w:t>
      </w:r>
      <w:r>
        <w:rPr>
          <w:sz w:val="24"/>
          <w:szCs w:val="24"/>
        </w:rPr>
        <w:t xml:space="preserve"> y el Grupo Parlamentario MIXTO (</w:t>
      </w:r>
      <w:proofErr w:type="spellStart"/>
      <w:r>
        <w:rPr>
          <w:sz w:val="24"/>
          <w:szCs w:val="24"/>
        </w:rPr>
        <w:t>Compromís</w:t>
      </w:r>
      <w:proofErr w:type="spellEnd"/>
      <w:r>
        <w:rPr>
          <w:sz w:val="24"/>
          <w:szCs w:val="24"/>
        </w:rPr>
        <w:t xml:space="preserve">) en el Congreso de los Diputados, a instancia de los Diputados Juan Antonio López de </w:t>
      </w:r>
      <w:proofErr w:type="spellStart"/>
      <w:r>
        <w:rPr>
          <w:sz w:val="24"/>
          <w:szCs w:val="24"/>
        </w:rPr>
        <w:t>Uralde</w:t>
      </w:r>
      <w:proofErr w:type="spellEnd"/>
      <w:r>
        <w:rPr>
          <w:sz w:val="24"/>
          <w:szCs w:val="24"/>
        </w:rPr>
        <w:t xml:space="preserve"> Garmendia y </w:t>
      </w:r>
      <w:proofErr w:type="spellStart"/>
      <w:r>
        <w:rPr>
          <w:sz w:val="24"/>
          <w:szCs w:val="24"/>
        </w:rPr>
        <w:t>Enric</w:t>
      </w:r>
      <w:proofErr w:type="spellEnd"/>
      <w:r>
        <w:rPr>
          <w:sz w:val="24"/>
          <w:szCs w:val="24"/>
        </w:rPr>
        <w:t xml:space="preserve"> </w:t>
      </w:r>
      <w:proofErr w:type="spellStart"/>
      <w:r>
        <w:rPr>
          <w:sz w:val="24"/>
          <w:szCs w:val="24"/>
        </w:rPr>
        <w:t>Bataller</w:t>
      </w:r>
      <w:proofErr w:type="spellEnd"/>
      <w:r>
        <w:rPr>
          <w:sz w:val="24"/>
          <w:szCs w:val="24"/>
        </w:rPr>
        <w:t xml:space="preserve"> i Ruiz y al amparo de lo dispuesto en el artículo 193 y siguientes del vigente Reglamento del Congreso de los Diputados, presentan la siguiente </w:t>
      </w:r>
      <w:r>
        <w:rPr>
          <w:b/>
          <w:sz w:val="24"/>
          <w:szCs w:val="24"/>
        </w:rPr>
        <w:t xml:space="preserve">Proposición no de Ley relativa a impulsar la adopción de medidas urgentes y adicionales de protección del medio ambiente frente al abandono de residuos, </w:t>
      </w:r>
      <w:r>
        <w:rPr>
          <w:sz w:val="24"/>
          <w:szCs w:val="24"/>
        </w:rPr>
        <w:t>para su debate en</w:t>
      </w:r>
      <w:r>
        <w:rPr>
          <w:b/>
          <w:sz w:val="24"/>
          <w:szCs w:val="24"/>
        </w:rPr>
        <w:t xml:space="preserve"> la Comisión de Agricultura, Alimentación y Medio Ambiente. </w:t>
      </w:r>
    </w:p>
    <w:p w:rsidR="00FE69F1" w:rsidRDefault="00FE69F1" w:rsidP="00FE69F1">
      <w:pPr>
        <w:jc w:val="both"/>
        <w:rPr>
          <w:b/>
          <w:sz w:val="24"/>
          <w:szCs w:val="24"/>
        </w:rPr>
      </w:pPr>
    </w:p>
    <w:p w:rsidR="00FE69F1" w:rsidRDefault="00FE69F1" w:rsidP="00FE69F1">
      <w:pPr>
        <w:jc w:val="center"/>
        <w:rPr>
          <w:sz w:val="24"/>
          <w:szCs w:val="24"/>
        </w:rPr>
      </w:pPr>
      <w:r>
        <w:rPr>
          <w:b/>
          <w:sz w:val="24"/>
          <w:szCs w:val="24"/>
          <w:u w:val="single"/>
        </w:rPr>
        <w:t>EXPOSICIÓN DE MOTIVOS</w:t>
      </w:r>
    </w:p>
    <w:p w:rsidR="00FE69F1" w:rsidRDefault="00FE69F1" w:rsidP="00FE69F1">
      <w:pPr>
        <w:jc w:val="both"/>
        <w:rPr>
          <w:sz w:val="24"/>
          <w:szCs w:val="24"/>
        </w:rPr>
      </w:pPr>
      <w:r>
        <w:rPr>
          <w:sz w:val="24"/>
          <w:szCs w:val="24"/>
        </w:rPr>
        <w:t xml:space="preserve">La alteración y degradación que padece el territorio y el medio natural por el abandono de ciertos envases evidencia la imposible o dificultosa valorización o </w:t>
      </w:r>
      <w:r>
        <w:rPr>
          <w:sz w:val="24"/>
          <w:szCs w:val="24"/>
        </w:rPr>
        <w:lastRenderedPageBreak/>
        <w:t>eliminación de los mismos, razón por la que se hace necesario impulsar medidas específicas adicionales de protección que impliquen activamente a la ciudadanía y resulten más eficaces en la utilización de los recursos públicos, tomando como referencia los sistemas y modelos seguidos en otros países europeos, así como sus resultados efectivos y positivos para el medio ambiente.</w:t>
      </w:r>
    </w:p>
    <w:p w:rsidR="00FE69F1" w:rsidRDefault="00FE69F1" w:rsidP="00FE69F1">
      <w:pPr>
        <w:jc w:val="both"/>
        <w:rPr>
          <w:sz w:val="24"/>
          <w:szCs w:val="24"/>
        </w:rPr>
      </w:pPr>
      <w:r>
        <w:rPr>
          <w:sz w:val="24"/>
          <w:szCs w:val="24"/>
        </w:rPr>
        <w:t>En efecto, en materia de abandono de residuos, especialmente de envases, existe un vacío legislativo. Debemos reconocer la limitación del actual sistema de gestión de residuos ante esta situación generalizada en todo el territorio del Estado, e impulsar sistemas complementarios y alternativos resultado de políticas medioambientales que den respuesta a los problemas surgidos por la interacción entre la actividad económica y el medio físico.</w:t>
      </w:r>
    </w:p>
    <w:p w:rsidR="00FE69F1" w:rsidRDefault="00FE69F1" w:rsidP="00FE69F1">
      <w:pPr>
        <w:jc w:val="both"/>
        <w:rPr>
          <w:sz w:val="24"/>
          <w:szCs w:val="24"/>
        </w:rPr>
      </w:pPr>
      <w:r>
        <w:rPr>
          <w:sz w:val="24"/>
          <w:szCs w:val="24"/>
        </w:rPr>
        <w:t xml:space="preserve">El Gobierno debe integrar en sus políticas y actuaciones sobre el territorio y el medio natural, entre otros principios directores, la prevención de la generación de residuos, implantando el residuo cero como horizonte estratégico, y por este orden, proceder a la reutilización, reciclado, valorización y eliminación de los mismos, aplicando el principio del contaminador-pagador en la gestión de los residuos y, en general, en todas las formas de contaminación con efectos sobre la salud de las personas y la integridad de los ecosistemas. </w:t>
      </w:r>
    </w:p>
    <w:p w:rsidR="00FE69F1" w:rsidRDefault="00FE69F1" w:rsidP="00FE69F1">
      <w:pPr>
        <w:jc w:val="both"/>
        <w:rPr>
          <w:sz w:val="24"/>
          <w:szCs w:val="24"/>
        </w:rPr>
      </w:pPr>
      <w:r>
        <w:rPr>
          <w:sz w:val="24"/>
          <w:szCs w:val="24"/>
        </w:rPr>
        <w:t xml:space="preserve">Las Cortes Generales deben enderezar la política seguida por el Gobierno hasta el momento con el fin de que no se obstaculice ni se impida la adopción de aquellas medidas que, como el sistema de depósito y retorno de envases, han sido reconocidas como efectivas en aquellos países donde se han implantado y sobre las que ya existen evidencias favorables. </w:t>
      </w:r>
    </w:p>
    <w:p w:rsidR="00FE69F1" w:rsidRDefault="00FE69F1" w:rsidP="00FE69F1">
      <w:pPr>
        <w:jc w:val="both"/>
        <w:rPr>
          <w:sz w:val="24"/>
          <w:szCs w:val="24"/>
        </w:rPr>
      </w:pPr>
      <w:r>
        <w:rPr>
          <w:sz w:val="24"/>
          <w:szCs w:val="24"/>
        </w:rPr>
        <w:t xml:space="preserve">En este sentido, el pasado mes de noviembre, la asociación Amigos de la Tierra y la Universidad Jaume I de Castellón presentaban los datos de un informe basado en 32 acciones de recogida de residuos realizadas en espacios urbanos, semiurbanos y naturales de diez Comunidades Autónomas del Estado. Los resultados fueron concluyentes: las latas de bebidas, las botellas de vidrio y las botellas de plástico suponen más del 50% de todos los residuos abandonados tanto por volumen como por peso. </w:t>
      </w:r>
    </w:p>
    <w:p w:rsidR="00FE69F1" w:rsidRDefault="00FE69F1" w:rsidP="00FE69F1">
      <w:pPr>
        <w:jc w:val="both"/>
        <w:rPr>
          <w:sz w:val="24"/>
          <w:szCs w:val="24"/>
        </w:rPr>
      </w:pPr>
      <w:r>
        <w:rPr>
          <w:sz w:val="24"/>
          <w:szCs w:val="24"/>
        </w:rPr>
        <w:t>El Sistema de Depósito, Devolución y Retorno (SDDR) es un sistema de gestión de residuos, envases en este caso, que asocia un valor a cada envase para que este sea retornado por el consumidor para su reciclado. Es un sistema que funciona en paralelo a los Sistemas Integrados de Gestión (SIG), que continuarán existiendo. El SDDR funciona de la siguiente manera:</w:t>
      </w:r>
    </w:p>
    <w:p w:rsidR="00FE69F1" w:rsidRDefault="00FE69F1" w:rsidP="00FE69F1">
      <w:pPr>
        <w:numPr>
          <w:ilvl w:val="0"/>
          <w:numId w:val="1"/>
        </w:numPr>
        <w:jc w:val="both"/>
        <w:rPr>
          <w:sz w:val="24"/>
          <w:szCs w:val="24"/>
        </w:rPr>
      </w:pPr>
      <w:r>
        <w:rPr>
          <w:sz w:val="24"/>
          <w:szCs w:val="24"/>
        </w:rPr>
        <w:t>los productores (de embotelladoras, importadoras o distribuidoras) pagan el depósito al operador del sistema por cada envase que ponen en el mercado.</w:t>
      </w:r>
    </w:p>
    <w:p w:rsidR="00FE69F1" w:rsidRDefault="00FE69F1" w:rsidP="00FE69F1">
      <w:pPr>
        <w:numPr>
          <w:ilvl w:val="0"/>
          <w:numId w:val="1"/>
        </w:numPr>
        <w:jc w:val="both"/>
        <w:rPr>
          <w:sz w:val="24"/>
          <w:szCs w:val="24"/>
        </w:rPr>
      </w:pPr>
      <w:r>
        <w:rPr>
          <w:sz w:val="24"/>
          <w:szCs w:val="24"/>
        </w:rPr>
        <w:lastRenderedPageBreak/>
        <w:t>Los comercios (</w:t>
      </w:r>
      <w:proofErr w:type="spellStart"/>
      <w:r>
        <w:rPr>
          <w:sz w:val="24"/>
          <w:szCs w:val="24"/>
        </w:rPr>
        <w:t>hiper</w:t>
      </w:r>
      <w:proofErr w:type="spellEnd"/>
      <w:r>
        <w:rPr>
          <w:sz w:val="24"/>
          <w:szCs w:val="24"/>
        </w:rPr>
        <w:t xml:space="preserve"> y supermercados, pequeñas y medianas tiendas, gasolineras, etc.) compran los productos, y sus envases, a los productores. Pagan el precio del producto más el depósito por cada envase. También cobran a los consumidores por el envase en el momento de la compra, y retornan su depósito impuesto cuando estos lo retornan.</w:t>
      </w:r>
    </w:p>
    <w:p w:rsidR="00FE69F1" w:rsidRDefault="00FE69F1" w:rsidP="00FE69F1">
      <w:pPr>
        <w:numPr>
          <w:ilvl w:val="0"/>
          <w:numId w:val="1"/>
        </w:numPr>
        <w:jc w:val="both"/>
        <w:rPr>
          <w:sz w:val="24"/>
          <w:szCs w:val="24"/>
        </w:rPr>
      </w:pPr>
      <w:r>
        <w:rPr>
          <w:sz w:val="24"/>
          <w:szCs w:val="24"/>
        </w:rPr>
        <w:t>Los consumidores compran el productor envasado y pagan el depósito por cada envase al comercio. Cuando han consumido el producto, en el momento de devolver el envase vacío en cualquier comercio, se retorna íntegramente el depósito pagado. Si el consumidor no retorna el envase, la cantidad queda en el circuito.</w:t>
      </w:r>
    </w:p>
    <w:p w:rsidR="00FE69F1" w:rsidRDefault="00FE69F1" w:rsidP="00FE69F1">
      <w:pPr>
        <w:jc w:val="both"/>
        <w:rPr>
          <w:sz w:val="24"/>
          <w:szCs w:val="24"/>
        </w:rPr>
      </w:pPr>
      <w:r>
        <w:rPr>
          <w:sz w:val="24"/>
          <w:szCs w:val="24"/>
        </w:rPr>
        <w:t xml:space="preserve">La mayor eficiencia del sistema ha sido declarada por los organismos y la propia jurisprudencia europea. Cabe destacar, por ejemplo, la Sentencia del Tribunal de Justicia de las Comunidades Europeas (Gran Sala) de 14 de diciembre de 2004, (Asunto C-309/02, Comisión contra República Federal de Alemania) afirma que “un sistema de depósito y retorno puede incrementar el porcentaje de envases retornados y, al mismo tiempo, dar lugar a una clasificación más selectiva de los residuos de envases. Además, puede ayudar a impedir que se genere basura, pues da a los consumidores un incentivo para devolver los envases vacíos”. </w:t>
      </w:r>
    </w:p>
    <w:p w:rsidR="00FE69F1" w:rsidRDefault="00FE69F1" w:rsidP="00FE69F1">
      <w:pPr>
        <w:jc w:val="both"/>
        <w:rPr>
          <w:sz w:val="24"/>
          <w:szCs w:val="24"/>
        </w:rPr>
      </w:pPr>
      <w:r>
        <w:rPr>
          <w:sz w:val="24"/>
          <w:szCs w:val="24"/>
        </w:rPr>
        <w:t>Estos sistemas complementarios a los actuales vigentes son la opción más eficaz y proporcionada para luchar contra el abandono de envases en el medio ambiente y también para luchar contra el abandono de basura en el mar mediterráneo (</w:t>
      </w:r>
      <w:proofErr w:type="spellStart"/>
      <w:r>
        <w:rPr>
          <w:sz w:val="24"/>
          <w:szCs w:val="24"/>
        </w:rPr>
        <w:t>littering</w:t>
      </w:r>
      <w:proofErr w:type="spellEnd"/>
      <w:r>
        <w:rPr>
          <w:sz w:val="24"/>
          <w:szCs w:val="24"/>
        </w:rPr>
        <w:t xml:space="preserve"> marino), que tiene también su cobertura en el artículo 9 del Anexo I de la Decisión IG.21 / 7 en la 18ª Reunión de las Partes Contratantes del Convenio de Barcelona (3-6 diciembre de 2013, Turquía) del Plan Regional sobre la Gestión de los Desechos Marinos en el Mediterráneo en el marco del artículo 15 del Protocolo de fuentes situadas en tierra (“</w:t>
      </w:r>
      <w:proofErr w:type="spellStart"/>
      <w:r>
        <w:rPr>
          <w:sz w:val="24"/>
          <w:szCs w:val="24"/>
        </w:rPr>
        <w:t>Land</w:t>
      </w:r>
      <w:proofErr w:type="spellEnd"/>
      <w:r>
        <w:rPr>
          <w:sz w:val="24"/>
          <w:szCs w:val="24"/>
        </w:rPr>
        <w:t xml:space="preserve"> </w:t>
      </w:r>
      <w:proofErr w:type="spellStart"/>
      <w:r>
        <w:rPr>
          <w:sz w:val="24"/>
          <w:szCs w:val="24"/>
        </w:rPr>
        <w:t>Based</w:t>
      </w:r>
      <w:proofErr w:type="spellEnd"/>
      <w:r>
        <w:rPr>
          <w:sz w:val="24"/>
          <w:szCs w:val="24"/>
        </w:rPr>
        <w:t xml:space="preserve"> </w:t>
      </w:r>
      <w:proofErr w:type="spellStart"/>
      <w:r>
        <w:rPr>
          <w:sz w:val="24"/>
          <w:szCs w:val="24"/>
        </w:rPr>
        <w:t>Sources</w:t>
      </w:r>
      <w:proofErr w:type="spellEnd"/>
      <w:r>
        <w:rPr>
          <w:sz w:val="24"/>
          <w:szCs w:val="24"/>
        </w:rPr>
        <w:t xml:space="preserve"> </w:t>
      </w:r>
      <w:proofErr w:type="spellStart"/>
      <w:r>
        <w:rPr>
          <w:sz w:val="24"/>
          <w:szCs w:val="24"/>
        </w:rPr>
        <w:t>Protocol</w:t>
      </w:r>
      <w:proofErr w:type="spellEnd"/>
      <w:r>
        <w:rPr>
          <w:sz w:val="24"/>
          <w:szCs w:val="24"/>
        </w:rPr>
        <w:t>” , que prevé “para el año 2017 explorar y aplicar en la medida de lo posible las medidas de prevención relacionadas con: ... (f) Establecimiento de Sistemas de Depósito, Retorno y Reembolso para envases de bebidas priorizando cuando sea posible su reciclaje.”</w:t>
      </w:r>
    </w:p>
    <w:p w:rsidR="00FE69F1" w:rsidRDefault="00FE69F1" w:rsidP="00FE69F1">
      <w:pPr>
        <w:jc w:val="both"/>
        <w:rPr>
          <w:sz w:val="24"/>
          <w:szCs w:val="24"/>
        </w:rPr>
      </w:pPr>
      <w:r>
        <w:rPr>
          <w:sz w:val="24"/>
          <w:szCs w:val="24"/>
        </w:rPr>
        <w:t>Es por ello que debemos impulsar estas medidas complementarias a los actuales sistemas de forma urgente con el fin de prevenir el abandono de residuos de envases y favorecer y facilitar de forma efectiva la recuperación de los envases utilizados para su reutilización y de los residuos para su reciclaje de alta calidad.</w:t>
      </w:r>
    </w:p>
    <w:p w:rsidR="00FE69F1" w:rsidRDefault="00FE69F1" w:rsidP="00FE69F1">
      <w:pPr>
        <w:jc w:val="both"/>
        <w:rPr>
          <w:i/>
          <w:sz w:val="24"/>
          <w:szCs w:val="24"/>
        </w:rPr>
      </w:pPr>
      <w:r>
        <w:rPr>
          <w:sz w:val="24"/>
          <w:szCs w:val="24"/>
        </w:rPr>
        <w:t xml:space="preserve">Esta circunstancia ya ha sido denunciada por distintos Grupos Parlamentarios en las Comunidades Autónomas: el propio Grupo Popular presentó al Parlamento de Canarias, con fecha el 11 de diciembre de 2012, una Proposición No de ley en la que se instaba al Gobierno de Canarias para desarrollar actuaciones encaminadas a reducir los residuos, maximizar su recuperación y sensibilizar a la población y a los agentes </w:t>
      </w:r>
      <w:r>
        <w:rPr>
          <w:sz w:val="24"/>
          <w:szCs w:val="24"/>
        </w:rPr>
        <w:lastRenderedPageBreak/>
        <w:t xml:space="preserve">comerciales y económicos, para contribuir a estos objetivos de prevención de la contaminación, así como para  impulsar el debate para plantear como medida general el sistema de retorno de envases. Transcribimos a continuación la Proposición No de Ley 8L/PNL-0165 del GP Popular, sobre gestión de residuos, publicada en el Boletín Oficial del Parlamento de Canarias Nº3 de 9 de enero, y que fuera aprobada por unanimidad de los Grupos Parlamentarios: </w:t>
      </w:r>
    </w:p>
    <w:p w:rsidR="00FE69F1" w:rsidRDefault="00FE69F1" w:rsidP="00FE69F1">
      <w:pPr>
        <w:pStyle w:val="Pa6"/>
        <w:ind w:left="280" w:firstLine="280"/>
        <w:jc w:val="both"/>
        <w:rPr>
          <w:rFonts w:ascii="Calibri" w:hAnsi="Calibri" w:cs="Calibri"/>
          <w:i/>
        </w:rPr>
      </w:pPr>
      <w:r>
        <w:rPr>
          <w:rFonts w:ascii="Calibri" w:hAnsi="Calibri" w:cs="Calibri"/>
          <w:i/>
        </w:rPr>
        <w:t xml:space="preserve">“Las políticas y normativas ambientales de la Unión Europea se basan en los principios de precaución y prevención, de acuerdo con los criterios de evitar el daño ambiental en origen. Se pretende que el responsable de poner en el mercado un producto que acabará convertido en residuo se responsabilice del mismo (Responsabilidad Ampliada del Productor). </w:t>
      </w:r>
    </w:p>
    <w:p w:rsidR="00FE69F1" w:rsidRDefault="00FE69F1" w:rsidP="00FE69F1">
      <w:pPr>
        <w:pStyle w:val="Pa6"/>
        <w:ind w:left="280" w:firstLine="280"/>
        <w:jc w:val="both"/>
        <w:rPr>
          <w:rFonts w:ascii="Calibri" w:hAnsi="Calibri" w:cs="Calibri"/>
          <w:i/>
        </w:rPr>
      </w:pPr>
      <w:r>
        <w:rPr>
          <w:rFonts w:ascii="Calibri" w:hAnsi="Calibri" w:cs="Calibri"/>
          <w:i/>
        </w:rPr>
        <w:t xml:space="preserve">Por otra parte, el VI Programa de Acción Ambiental de la Unión Europea plantea como objetivo principal la disociación entre crecimiento y la producción de residuos, y menciona la prevención como principal elemento de la política de gestión de residuos. </w:t>
      </w:r>
    </w:p>
    <w:p w:rsidR="00FE69F1" w:rsidRDefault="00FE69F1" w:rsidP="00FE69F1">
      <w:pPr>
        <w:pStyle w:val="Pa6"/>
        <w:ind w:left="280" w:firstLine="280"/>
        <w:jc w:val="both"/>
        <w:rPr>
          <w:rFonts w:ascii="Calibri" w:hAnsi="Calibri" w:cs="Calibri"/>
          <w:i/>
        </w:rPr>
      </w:pPr>
      <w:r>
        <w:rPr>
          <w:rFonts w:ascii="Calibri" w:hAnsi="Calibri" w:cs="Calibri"/>
          <w:i/>
        </w:rPr>
        <w:t xml:space="preserve">En España se consumen 51 millones de envases de bebidas de un solo uso cada día. Son 18.000 millones de envases al año de los que se recoge selectivamente un 35%. Diariamente se abandonan, incineran o entierran en vertederos 28 millones de envases. </w:t>
      </w:r>
    </w:p>
    <w:p w:rsidR="00FE69F1" w:rsidRDefault="00FE69F1" w:rsidP="00FE69F1">
      <w:pPr>
        <w:ind w:left="280"/>
        <w:jc w:val="both"/>
        <w:rPr>
          <w:i/>
          <w:sz w:val="24"/>
          <w:szCs w:val="24"/>
        </w:rPr>
      </w:pPr>
      <w:r>
        <w:rPr>
          <w:i/>
          <w:sz w:val="24"/>
          <w:szCs w:val="24"/>
        </w:rPr>
        <w:t>La gestión del resto de envases condenados al vertedero o la incineradora cuesta a las administraciones una media de 68 millones de euros. Y si a ello le sumamos otros 65 millones del valor de la materia prima –aluminio, metal, plástico, vidrio, etc</w:t>
      </w:r>
      <w:proofErr w:type="gramStart"/>
      <w:r>
        <w:rPr>
          <w:i/>
          <w:sz w:val="24"/>
          <w:szCs w:val="24"/>
        </w:rPr>
        <w:t>.–</w:t>
      </w:r>
      <w:proofErr w:type="gramEnd"/>
      <w:r>
        <w:rPr>
          <w:i/>
          <w:sz w:val="24"/>
          <w:szCs w:val="24"/>
        </w:rPr>
        <w:t>, resulta que al año derrochamos 133 millones de euros.</w:t>
      </w:r>
    </w:p>
    <w:p w:rsidR="00FE69F1" w:rsidRDefault="00FE69F1" w:rsidP="00FE69F1">
      <w:pPr>
        <w:ind w:left="280" w:firstLine="280"/>
        <w:jc w:val="both"/>
        <w:rPr>
          <w:i/>
          <w:sz w:val="24"/>
          <w:szCs w:val="24"/>
        </w:rPr>
      </w:pPr>
      <w:r>
        <w:rPr>
          <w:i/>
          <w:sz w:val="24"/>
          <w:szCs w:val="24"/>
        </w:rPr>
        <w:t xml:space="preserve">La investigación titulada Evaluación de costes de introducción de un Sistema de Depósito, Devolución y Retorno (SDDR) en España, realizado por </w:t>
      </w:r>
      <w:proofErr w:type="spellStart"/>
      <w:r>
        <w:rPr>
          <w:i/>
          <w:sz w:val="24"/>
          <w:szCs w:val="24"/>
        </w:rPr>
        <w:t>Eunomia</w:t>
      </w:r>
      <w:proofErr w:type="spellEnd"/>
      <w:r>
        <w:rPr>
          <w:i/>
          <w:sz w:val="24"/>
          <w:szCs w:val="24"/>
        </w:rPr>
        <w:t xml:space="preserve">, ha concluido en enero de este año y consta de 87 páginas. Sobre las principales conclusiones del estudio se ha elaborado un escenario aplicado a la implantación de un Sistema de Retorno en España. </w:t>
      </w:r>
    </w:p>
    <w:p w:rsidR="00FE69F1" w:rsidRDefault="00FE69F1" w:rsidP="00FE69F1">
      <w:pPr>
        <w:pStyle w:val="Pa6"/>
        <w:ind w:left="280" w:firstLine="280"/>
        <w:jc w:val="both"/>
        <w:rPr>
          <w:rFonts w:ascii="Calibri" w:hAnsi="Calibri" w:cs="Calibri"/>
          <w:i/>
        </w:rPr>
      </w:pPr>
      <w:r>
        <w:rPr>
          <w:rFonts w:ascii="Calibri" w:hAnsi="Calibri" w:cs="Calibri"/>
          <w:i/>
        </w:rPr>
        <w:t xml:space="preserve">Lograr altas cotas de reciclado de envases sólo se consigue con el SDDR, como se ha demostrado en todos los países donde se ha implantado. En 40 países o regiones, este sistema es una realidad que funciona con éxito y demuestra claramente una gran mejora ambiental, económica y social. </w:t>
      </w:r>
    </w:p>
    <w:p w:rsidR="00FE69F1" w:rsidRDefault="00FE69F1" w:rsidP="00FE69F1">
      <w:pPr>
        <w:pStyle w:val="Pa6"/>
        <w:ind w:left="280" w:firstLine="280"/>
        <w:jc w:val="both"/>
        <w:rPr>
          <w:rFonts w:ascii="Calibri" w:hAnsi="Calibri" w:cs="Calibri"/>
          <w:i/>
        </w:rPr>
      </w:pPr>
      <w:r>
        <w:rPr>
          <w:rFonts w:ascii="Calibri" w:hAnsi="Calibri" w:cs="Calibri"/>
          <w:i/>
        </w:rPr>
        <w:t xml:space="preserve">En Europa, los índices de reciclado de envases oscilan entre el 88% de Dinamarca; el 88% de Suecia; el 94% de Noruega; el 95% de Finlandia y el 98,5% de Alemania. En estos cuatro países del norte de Europa es prácticamente imposible tropezarse con un envase abandonado en los espacios públicos. </w:t>
      </w:r>
    </w:p>
    <w:p w:rsidR="00FE69F1" w:rsidRDefault="00FE69F1" w:rsidP="00FE69F1">
      <w:pPr>
        <w:pStyle w:val="Pa6"/>
        <w:ind w:left="280" w:firstLine="280"/>
        <w:jc w:val="both"/>
        <w:rPr>
          <w:rFonts w:ascii="Calibri" w:hAnsi="Calibri" w:cs="Calibri"/>
          <w:i/>
        </w:rPr>
      </w:pPr>
      <w:r>
        <w:rPr>
          <w:rFonts w:ascii="Calibri" w:hAnsi="Calibri" w:cs="Calibri"/>
          <w:i/>
        </w:rPr>
        <w:t>El Sistema de Retorno de envases tiene coste cero para las Administraciones Central y Regional, y comporta ahorros en la Municipal; se autofinancia desde el primer momento. Las ventajas ambientales y sociales incluyen creación de empleo verde, disminución de CO</w:t>
      </w:r>
      <w:r>
        <w:rPr>
          <w:rFonts w:ascii="Calibri" w:hAnsi="Calibri" w:cs="Calibri"/>
          <w:i/>
          <w:vertAlign w:val="subscript"/>
        </w:rPr>
        <w:t xml:space="preserve">2 </w:t>
      </w:r>
      <w:r>
        <w:rPr>
          <w:rFonts w:ascii="Calibri" w:hAnsi="Calibri" w:cs="Calibri"/>
          <w:i/>
        </w:rPr>
        <w:t xml:space="preserve">y ahorro de recursos. </w:t>
      </w:r>
    </w:p>
    <w:p w:rsidR="00FE69F1" w:rsidRDefault="00FE69F1" w:rsidP="00FE69F1">
      <w:pPr>
        <w:pStyle w:val="Pa6"/>
        <w:ind w:left="280" w:firstLine="280"/>
        <w:jc w:val="both"/>
        <w:rPr>
          <w:rFonts w:ascii="Calibri" w:hAnsi="Calibri" w:cs="Calibri"/>
          <w:i/>
        </w:rPr>
      </w:pPr>
      <w:r>
        <w:rPr>
          <w:rFonts w:ascii="Calibri" w:hAnsi="Calibri" w:cs="Calibri"/>
          <w:i/>
        </w:rPr>
        <w:t xml:space="preserve">Los comercios verían compensada su colaboración con 535 millones de euros al año y la industria casi triplica la recuperación de sus envases, del 35% al 90%, sin nuevos costes. Se trata de dar valor al residuo. </w:t>
      </w:r>
    </w:p>
    <w:p w:rsidR="00FE69F1" w:rsidRDefault="00FE69F1" w:rsidP="00FE69F1">
      <w:pPr>
        <w:ind w:left="280"/>
        <w:jc w:val="both"/>
        <w:rPr>
          <w:i/>
          <w:sz w:val="24"/>
          <w:szCs w:val="24"/>
        </w:rPr>
      </w:pPr>
      <w:r>
        <w:rPr>
          <w:i/>
          <w:sz w:val="24"/>
          <w:szCs w:val="24"/>
        </w:rPr>
        <w:lastRenderedPageBreak/>
        <w:t>Este Sistema de Retorno facilita la gestión de residuos, de envases en este caso, que asocia un valor a cada envase para que éste sea devuelto por el consumidor para su reciclaje. Es un sistema sólo destinado a los envases de bebidas. Los sistemas integrados de gestión que funcionan actualmente deberán seguir existiendo para multitud de envases que no están incluidos en el SDDR.</w:t>
      </w:r>
    </w:p>
    <w:p w:rsidR="00FE69F1" w:rsidRDefault="00FE69F1" w:rsidP="00FE69F1">
      <w:pPr>
        <w:pStyle w:val="Pa6"/>
        <w:ind w:left="280" w:firstLine="280"/>
        <w:jc w:val="both"/>
        <w:rPr>
          <w:rFonts w:ascii="Calibri" w:hAnsi="Calibri" w:cs="Calibri"/>
          <w:i/>
        </w:rPr>
      </w:pPr>
      <w:r>
        <w:rPr>
          <w:rFonts w:ascii="Calibri" w:hAnsi="Calibri" w:cs="Calibri"/>
          <w:i/>
        </w:rPr>
        <w:t xml:space="preserve">El sistema funciona de este modo, a grandes rasgos: </w:t>
      </w:r>
    </w:p>
    <w:p w:rsidR="00FE69F1" w:rsidRDefault="00FE69F1" w:rsidP="00FE69F1">
      <w:pPr>
        <w:pStyle w:val="Pa8"/>
        <w:ind w:left="560"/>
        <w:jc w:val="both"/>
        <w:rPr>
          <w:rFonts w:ascii="Calibri" w:hAnsi="Calibri" w:cs="Calibri"/>
          <w:i/>
        </w:rPr>
      </w:pPr>
      <w:r>
        <w:rPr>
          <w:rFonts w:ascii="Calibri" w:hAnsi="Calibri" w:cs="Calibri"/>
          <w:i/>
        </w:rPr>
        <w:t xml:space="preserve">• Los productores (embotelladores, importadores o distribuidores) pagan el depósito al operador del sistema por cada envase que ponen en el mercado. </w:t>
      </w:r>
    </w:p>
    <w:p w:rsidR="00FE69F1" w:rsidRDefault="00FE69F1" w:rsidP="00FE69F1">
      <w:pPr>
        <w:pStyle w:val="Pa8"/>
        <w:ind w:left="560"/>
        <w:jc w:val="both"/>
        <w:rPr>
          <w:rFonts w:ascii="Calibri" w:hAnsi="Calibri" w:cs="Calibri"/>
          <w:i/>
        </w:rPr>
      </w:pPr>
      <w:r>
        <w:rPr>
          <w:rFonts w:ascii="Calibri" w:hAnsi="Calibri" w:cs="Calibri"/>
          <w:i/>
        </w:rPr>
        <w:t xml:space="preserve">• Los comercios compran los productos y sus envases a los productores. Pagan el precio del producto más el depósito por cada envase. También cobran a los consumidores por el envase a la hora de la compra, y devuelven su importe cuando éstos lo devuelven. </w:t>
      </w:r>
    </w:p>
    <w:p w:rsidR="00FE69F1" w:rsidRDefault="00FE69F1" w:rsidP="00FE69F1">
      <w:pPr>
        <w:pStyle w:val="Pa8"/>
        <w:ind w:left="560"/>
        <w:jc w:val="both"/>
        <w:rPr>
          <w:rFonts w:ascii="Calibri" w:hAnsi="Calibri" w:cs="Calibri"/>
          <w:i/>
        </w:rPr>
      </w:pPr>
      <w:r>
        <w:rPr>
          <w:rFonts w:ascii="Calibri" w:hAnsi="Calibri" w:cs="Calibri"/>
          <w:i/>
        </w:rPr>
        <w:t xml:space="preserve">• Los consumidores compran el producto envasado y pagan el depósito por cada envase al comercio. Cuando han consumido el producto, si entregan el envase vacío en cualquier comercio, se les devuelve íntegramente el depósito pagado. Si el consumidor no quiere devolver el envase, la cantidad queda en el circuito y ayuda a financiar el sistema. </w:t>
      </w:r>
    </w:p>
    <w:p w:rsidR="00FE69F1" w:rsidRDefault="00FE69F1" w:rsidP="00FE69F1">
      <w:pPr>
        <w:pStyle w:val="Pa8"/>
        <w:ind w:left="560"/>
        <w:jc w:val="both"/>
        <w:rPr>
          <w:rFonts w:ascii="Calibri" w:hAnsi="Calibri" w:cs="Calibri"/>
          <w:i/>
        </w:rPr>
      </w:pPr>
    </w:p>
    <w:p w:rsidR="00FE69F1" w:rsidRDefault="00FE69F1" w:rsidP="00FE69F1">
      <w:pPr>
        <w:pStyle w:val="Pa8"/>
        <w:ind w:left="560" w:firstLine="280"/>
        <w:jc w:val="both"/>
        <w:rPr>
          <w:rFonts w:ascii="Calibri" w:hAnsi="Calibri" w:cs="Calibri"/>
          <w:i/>
        </w:rPr>
      </w:pPr>
      <w:r>
        <w:rPr>
          <w:rFonts w:ascii="Calibri" w:hAnsi="Calibri" w:cs="Calibri"/>
          <w:i/>
        </w:rPr>
        <w:t>[…]</w:t>
      </w:r>
    </w:p>
    <w:p w:rsidR="00FE69F1" w:rsidRDefault="00FE69F1" w:rsidP="00FE69F1">
      <w:pPr>
        <w:pStyle w:val="Pa8"/>
        <w:ind w:left="560" w:firstLine="280"/>
        <w:jc w:val="both"/>
        <w:rPr>
          <w:rFonts w:ascii="Calibri" w:hAnsi="Calibri" w:cs="Calibri"/>
          <w:i/>
        </w:rPr>
      </w:pPr>
    </w:p>
    <w:p w:rsidR="00FE69F1" w:rsidRDefault="00FE69F1" w:rsidP="00FE69F1">
      <w:pPr>
        <w:pStyle w:val="Pa6"/>
        <w:ind w:left="280" w:firstLine="280"/>
        <w:jc w:val="both"/>
        <w:rPr>
          <w:rFonts w:ascii="Calibri" w:hAnsi="Calibri" w:cs="Calibri"/>
          <w:i/>
        </w:rPr>
      </w:pPr>
      <w:r>
        <w:rPr>
          <w:rFonts w:ascii="Calibri" w:hAnsi="Calibri" w:cs="Calibri"/>
          <w:i/>
        </w:rPr>
        <w:t xml:space="preserve">Las normas europeas, estatales y autonómicas en materia de residuos y residuos de envases van encaminadas a unos objetivos de reciclaje y reducción que no se han alcanzado, donde el principio de Responsabilidad Ampliada del Productor ha sido primordial en la política europea y ha recibido el apoyo de la OCDE por su capacidad de internalizar los costes de las empresas y de librar a la sociedad de estos. </w:t>
      </w:r>
    </w:p>
    <w:p w:rsidR="00FE69F1" w:rsidRDefault="00FE69F1" w:rsidP="00FE69F1">
      <w:pPr>
        <w:pStyle w:val="Pa7"/>
        <w:ind w:left="280"/>
        <w:jc w:val="both"/>
        <w:rPr>
          <w:rFonts w:ascii="Calibri" w:hAnsi="Calibri" w:cs="Calibri"/>
          <w:i/>
          <w:iCs/>
        </w:rPr>
      </w:pPr>
      <w:r>
        <w:rPr>
          <w:rFonts w:ascii="Calibri" w:hAnsi="Calibri" w:cs="Calibri"/>
          <w:i/>
        </w:rPr>
        <w:t xml:space="preserve">En base a lo expuesto, el Grupo Parlamentario Popular presenta la siguiente Proposición no de ley </w:t>
      </w:r>
    </w:p>
    <w:p w:rsidR="00FE69F1" w:rsidRDefault="00FE69F1" w:rsidP="00FE69F1">
      <w:pPr>
        <w:pStyle w:val="Pa6"/>
        <w:ind w:left="280" w:firstLine="280"/>
        <w:jc w:val="both"/>
        <w:rPr>
          <w:rFonts w:ascii="Calibri" w:hAnsi="Calibri" w:cs="Calibri"/>
          <w:i/>
          <w:iCs/>
        </w:rPr>
      </w:pPr>
      <w:r>
        <w:rPr>
          <w:rFonts w:ascii="Calibri" w:hAnsi="Calibri" w:cs="Calibri"/>
          <w:i/>
          <w:iCs/>
        </w:rPr>
        <w:t xml:space="preserve">El Parlamento de Canarias insta al Gobierno de Canarias a: </w:t>
      </w:r>
    </w:p>
    <w:p w:rsidR="00FE69F1" w:rsidRDefault="00FE69F1" w:rsidP="00FE69F1">
      <w:pPr>
        <w:pStyle w:val="Pa6"/>
        <w:ind w:left="280" w:firstLine="280"/>
        <w:jc w:val="both"/>
        <w:rPr>
          <w:rFonts w:ascii="Calibri" w:hAnsi="Calibri" w:cs="Calibri"/>
          <w:i/>
          <w:iCs/>
        </w:rPr>
      </w:pPr>
      <w:r>
        <w:rPr>
          <w:rFonts w:ascii="Calibri" w:hAnsi="Calibri" w:cs="Calibri"/>
          <w:i/>
          <w:iCs/>
        </w:rPr>
        <w:t xml:space="preserve">1. Afianzar el compromiso de las Islas en desarrollar actuaciones encaminadas a reducir los residuos, maximizar su recuperación y sensibilizar a la población y a los agentes comerciales y económicos, para contribuir a estos objetivos de prevención de la contaminación, evitar el agotamiento de recursos y luchar contra el cambio climático, potenciando una distribución y un consumo responsables. </w:t>
      </w:r>
    </w:p>
    <w:p w:rsidR="00FE69F1" w:rsidRDefault="00FE69F1" w:rsidP="00FE69F1">
      <w:pPr>
        <w:pStyle w:val="Pa6"/>
        <w:ind w:left="280" w:firstLine="280"/>
        <w:jc w:val="both"/>
        <w:rPr>
          <w:rFonts w:ascii="Calibri" w:hAnsi="Calibri" w:cs="Calibri"/>
          <w:i/>
          <w:iCs/>
        </w:rPr>
      </w:pPr>
      <w:r>
        <w:rPr>
          <w:rFonts w:ascii="Calibri" w:hAnsi="Calibri" w:cs="Calibri"/>
          <w:i/>
          <w:iCs/>
        </w:rPr>
        <w:t xml:space="preserve">2. Impulsar el debate para plantear como medida general el sistema de retorno de envases, promoviendo, al mismo tiempo, los envases reutilizables y aquellas medidas encaminadas a reducir los residuos. </w:t>
      </w:r>
    </w:p>
    <w:p w:rsidR="00FE69F1" w:rsidRDefault="00FE69F1" w:rsidP="00FE69F1">
      <w:pPr>
        <w:pStyle w:val="Pa6"/>
        <w:ind w:left="280" w:firstLine="280"/>
        <w:jc w:val="both"/>
        <w:rPr>
          <w:rFonts w:ascii="Calibri" w:hAnsi="Calibri" w:cs="Calibri"/>
        </w:rPr>
      </w:pPr>
      <w:r>
        <w:rPr>
          <w:rFonts w:ascii="Calibri" w:hAnsi="Calibri" w:cs="Calibri"/>
          <w:i/>
          <w:iCs/>
        </w:rPr>
        <w:t xml:space="preserve">3. Promover esta iniciativa entre las corporaciones locales de las Islas, el sector comercial y la ciudadanía, con el fin de dar a conocer los beneficios ambientales y económicos de este sistema, y profundizar en el fomento y ayuda a la implantación de empresas locales de tratamiento de residuos (…)”. </w:t>
      </w:r>
    </w:p>
    <w:p w:rsidR="00FE69F1" w:rsidRDefault="00FE69F1" w:rsidP="00FE69F1">
      <w:pPr>
        <w:jc w:val="both"/>
        <w:rPr>
          <w:sz w:val="24"/>
          <w:szCs w:val="24"/>
        </w:rPr>
      </w:pPr>
    </w:p>
    <w:p w:rsidR="00FE69F1" w:rsidRDefault="00FE69F1" w:rsidP="00FE69F1">
      <w:pPr>
        <w:jc w:val="both"/>
        <w:rPr>
          <w:sz w:val="24"/>
          <w:szCs w:val="24"/>
        </w:rPr>
      </w:pPr>
      <w:r>
        <w:rPr>
          <w:sz w:val="24"/>
          <w:szCs w:val="24"/>
        </w:rPr>
        <w:t xml:space="preserve">De igual modo y ante el incremento del abandono de residuos en el territorio de su Comunidad Autónoma, el Pleno de las Cortes Valencianas, en su sesión de 15 de septiembre de 2016, debatió y aprobó la propuesta de resolución sobre la </w:t>
      </w:r>
      <w:r>
        <w:rPr>
          <w:sz w:val="24"/>
          <w:szCs w:val="24"/>
        </w:rPr>
        <w:lastRenderedPageBreak/>
        <w:t>implantación de políticas en cumplimiento de la normativa europea, española y valenciana para la correcta gestión y tratamiento de residuos.</w:t>
      </w:r>
    </w:p>
    <w:p w:rsidR="00FE69F1" w:rsidRDefault="00FE69F1" w:rsidP="00FE69F1">
      <w:pPr>
        <w:jc w:val="both"/>
        <w:rPr>
          <w:sz w:val="24"/>
          <w:szCs w:val="24"/>
        </w:rPr>
      </w:pPr>
      <w:r>
        <w:rPr>
          <w:sz w:val="24"/>
          <w:szCs w:val="24"/>
        </w:rPr>
        <w:t xml:space="preserve">Además, a nivel municipal, el SDDR es compatible con todos los sistemas de gestión de residuos y supondrá el ahorro para los ayuntamientos en recogida, tratamiento y limpieza de latas y botellas de bebidas. </w:t>
      </w:r>
    </w:p>
    <w:p w:rsidR="00FE69F1" w:rsidRDefault="00FE69F1" w:rsidP="00FE69F1">
      <w:pPr>
        <w:jc w:val="both"/>
        <w:rPr>
          <w:sz w:val="24"/>
          <w:szCs w:val="24"/>
        </w:rPr>
      </w:pPr>
      <w:r>
        <w:rPr>
          <w:sz w:val="24"/>
          <w:szCs w:val="24"/>
        </w:rPr>
        <w:t xml:space="preserve">Con dicho sistema, la ciudadanía participa de manera activa y responsable en un sistema más transparente que hace que su esfuerzo sea muy eficaz. Además, no afecta directamente a los ciudadanos sino a los consumidores. Si no consume bebidas envasadas no le afecta de ninguna manera, y no como ahora, que consuma o no, tiene que pagar por la recogida (selectiva o no) de los residuos. Además, el hecho de que los consumidores tengan que devolver los envases en el establecimiento, aumenta la fidelidad del consumidor y la oportunidad de una nueva venta, probablemente con un mayor impacto en pequeño comercio que en supermercados. Por su parte las grandes cadenas de supermercados refuerzan la responsabilidad social empresarial de la compañía hacia la sostenibilidad. </w:t>
      </w:r>
    </w:p>
    <w:p w:rsidR="00FE69F1" w:rsidRDefault="00FE69F1" w:rsidP="00FE69F1">
      <w:pPr>
        <w:jc w:val="both"/>
        <w:rPr>
          <w:sz w:val="24"/>
          <w:szCs w:val="24"/>
        </w:rPr>
      </w:pPr>
      <w:r>
        <w:rPr>
          <w:sz w:val="24"/>
          <w:szCs w:val="24"/>
        </w:rPr>
        <w:t>Volver a vender las bebidas con depósito, combinado con otras estrategias terminará con los daños económicos y ambientales que el abandono de estos residuos genera. Por lo que esta técnica generará un impacto muy positivo en el aspecto de limpieza y orden. Así, la ciudadanía puede disfrutar de ciudades, pueblos y de un entorno natural (montañas, costas, playas) limpio y libre de latas y botellas. Se calcula que con esta medida, se evitará que al menos 50 millones de botellas y latas queden abandonados cada día en el Estado Español.</w:t>
      </w:r>
    </w:p>
    <w:p w:rsidR="00FE69F1" w:rsidRDefault="00FE69F1" w:rsidP="00FE69F1">
      <w:pPr>
        <w:jc w:val="both"/>
        <w:rPr>
          <w:sz w:val="24"/>
          <w:szCs w:val="24"/>
        </w:rPr>
      </w:pPr>
      <w:r>
        <w:rPr>
          <w:sz w:val="24"/>
          <w:szCs w:val="24"/>
        </w:rPr>
        <w:t xml:space="preserve">Otra gran ventaja de este sistema es que la implantación del sistema genera miles de nuevos puestos de trabajo que se mantienen gracias a gestionar recursos con valor. Y también está en consonancia con la estrategia de la Comisión Europea basada en la economía circular puesta en marcha en diciembre de 2015. </w:t>
      </w:r>
    </w:p>
    <w:p w:rsidR="00FE69F1" w:rsidRDefault="00FE69F1" w:rsidP="00FE69F1">
      <w:pPr>
        <w:jc w:val="both"/>
        <w:rPr>
          <w:sz w:val="24"/>
          <w:szCs w:val="24"/>
        </w:rPr>
      </w:pPr>
      <w:r>
        <w:rPr>
          <w:sz w:val="24"/>
          <w:szCs w:val="24"/>
        </w:rPr>
        <w:t xml:space="preserve">El informe del MAGRAMA (actual MAPAMA) de la </w:t>
      </w:r>
      <w:r>
        <w:rPr>
          <w:rFonts w:eastAsia="Times New Roman"/>
          <w:color w:val="000000"/>
          <w:sz w:val="24"/>
          <w:szCs w:val="24"/>
        </w:rPr>
        <w:t>Dirección General de Sostenibilidad de la Costa y del Mar, División de la Protección del Mar, “</w:t>
      </w:r>
      <w:r>
        <w:rPr>
          <w:rFonts w:eastAsia="Times New Roman"/>
          <w:i/>
          <w:color w:val="000000"/>
          <w:sz w:val="24"/>
          <w:szCs w:val="24"/>
        </w:rPr>
        <w:t>Propuesta de programas de medidas y estudio ambiental estratégico de las Estrategias Marinas</w:t>
      </w:r>
      <w:r>
        <w:rPr>
          <w:rFonts w:eastAsia="Times New Roman"/>
          <w:color w:val="000000"/>
          <w:sz w:val="24"/>
          <w:szCs w:val="24"/>
        </w:rPr>
        <w:t>”, también se manifiesta sobre la viabilidad, posibilidad actual e idoneidad de la implantación de un SDDR en España.</w:t>
      </w:r>
    </w:p>
    <w:p w:rsidR="00FE69F1" w:rsidRDefault="00FE69F1" w:rsidP="00FE69F1">
      <w:pPr>
        <w:jc w:val="both"/>
        <w:rPr>
          <w:sz w:val="24"/>
          <w:szCs w:val="24"/>
        </w:rPr>
      </w:pPr>
      <w:r>
        <w:rPr>
          <w:sz w:val="24"/>
          <w:szCs w:val="24"/>
        </w:rPr>
        <w:t>El informe de PNUMA de Nairobi, indica también la viabilidad del sistema de depósito como mecanismo de lucha contra el abandono de residuos plásticos.</w:t>
      </w:r>
    </w:p>
    <w:p w:rsidR="00FE69F1" w:rsidRDefault="00FE69F1" w:rsidP="00FE69F1">
      <w:pPr>
        <w:jc w:val="both"/>
        <w:rPr>
          <w:sz w:val="24"/>
          <w:szCs w:val="24"/>
        </w:rPr>
      </w:pPr>
      <w:r>
        <w:rPr>
          <w:sz w:val="24"/>
          <w:szCs w:val="24"/>
        </w:rPr>
        <w:t>Incluso recientemente, multinacionales como Coca-cola, han manifestado que el sistema de depósito puede ser positivo para incrementar los porcentajes de reciclado y que procederá a diseñar un sistema de depósito para la región de Escocia, en el Reino Unido.</w:t>
      </w:r>
    </w:p>
    <w:p w:rsidR="00FE69F1" w:rsidRDefault="00FE69F1" w:rsidP="00FE69F1">
      <w:pPr>
        <w:jc w:val="both"/>
        <w:rPr>
          <w:sz w:val="24"/>
          <w:szCs w:val="24"/>
        </w:rPr>
      </w:pPr>
      <w:r>
        <w:rPr>
          <w:sz w:val="24"/>
          <w:szCs w:val="24"/>
        </w:rPr>
        <w:lastRenderedPageBreak/>
        <w:t>Por todo ello, ante la necesidad de adoptar medidas urgentes y adicionales de protección del medio ambiente frente al abandono de residuos que sirvan para corregir la actual situación generalizada de abandono en todo el territorio del Estado, presentan la siguiente:</w:t>
      </w:r>
    </w:p>
    <w:p w:rsidR="00FE69F1" w:rsidRDefault="00FE69F1" w:rsidP="00FE69F1">
      <w:pPr>
        <w:ind w:left="2832"/>
        <w:jc w:val="both"/>
        <w:rPr>
          <w:b/>
          <w:sz w:val="24"/>
          <w:szCs w:val="24"/>
          <w:u w:val="single"/>
        </w:rPr>
      </w:pPr>
      <w:r>
        <w:rPr>
          <w:b/>
          <w:sz w:val="24"/>
          <w:szCs w:val="24"/>
          <w:u w:val="single"/>
        </w:rPr>
        <w:t>PROPOSICIÓN NO DE LEY</w:t>
      </w:r>
    </w:p>
    <w:p w:rsidR="00FE69F1" w:rsidRDefault="00FE69F1" w:rsidP="00FE69F1">
      <w:pPr>
        <w:ind w:left="2832"/>
        <w:jc w:val="both"/>
        <w:rPr>
          <w:b/>
          <w:sz w:val="24"/>
          <w:szCs w:val="24"/>
          <w:u w:val="single"/>
        </w:rPr>
      </w:pPr>
    </w:p>
    <w:p w:rsidR="00FE69F1" w:rsidRDefault="00FE69F1" w:rsidP="00FE69F1">
      <w:pPr>
        <w:jc w:val="both"/>
        <w:rPr>
          <w:b/>
          <w:iCs/>
          <w:sz w:val="24"/>
          <w:szCs w:val="24"/>
        </w:rPr>
      </w:pPr>
      <w:r>
        <w:rPr>
          <w:sz w:val="24"/>
          <w:szCs w:val="24"/>
        </w:rPr>
        <w:t xml:space="preserve">“El Congreso insta al Gobierno a: </w:t>
      </w:r>
    </w:p>
    <w:p w:rsidR="00FE69F1" w:rsidRDefault="00FE69F1" w:rsidP="00FE69F1">
      <w:pPr>
        <w:jc w:val="both"/>
        <w:rPr>
          <w:b/>
          <w:sz w:val="24"/>
          <w:szCs w:val="24"/>
        </w:rPr>
      </w:pPr>
      <w:r>
        <w:rPr>
          <w:b/>
          <w:iCs/>
          <w:sz w:val="24"/>
          <w:szCs w:val="24"/>
        </w:rPr>
        <w:t>1.-</w:t>
      </w:r>
      <w:r>
        <w:rPr>
          <w:iCs/>
          <w:sz w:val="24"/>
          <w:szCs w:val="24"/>
        </w:rPr>
        <w:t xml:space="preserve"> </w:t>
      </w:r>
      <w:r>
        <w:rPr>
          <w:sz w:val="24"/>
          <w:szCs w:val="24"/>
        </w:rPr>
        <w:t>Avanzar en la implantación de las políticas necesarias para cumplir con la normativa europea y española de residuos, que establece la jerarquía de la gestión y el tratamiento de estos: reducción, reutilización, reciclaje, otros usos y eliminación (vertedero); que ayude a avanzar con la adopción de medidas para impulsar la transición hacia la economía circular, compromiso adoptado en diciembre de 2015 por la Comisión Europea.</w:t>
      </w:r>
    </w:p>
    <w:p w:rsidR="00FE69F1" w:rsidRDefault="00FE69F1" w:rsidP="00FE69F1">
      <w:pPr>
        <w:jc w:val="both"/>
        <w:rPr>
          <w:b/>
          <w:sz w:val="24"/>
          <w:szCs w:val="24"/>
        </w:rPr>
      </w:pPr>
      <w:r>
        <w:rPr>
          <w:b/>
          <w:sz w:val="24"/>
          <w:szCs w:val="24"/>
        </w:rPr>
        <w:t>2.-</w:t>
      </w:r>
      <w:r>
        <w:rPr>
          <w:sz w:val="24"/>
          <w:szCs w:val="24"/>
        </w:rPr>
        <w:t xml:space="preserve"> Impulsar la puesta en marcha de sistemas complementarios al actual SIG – Como el sistema de depósito y devolución y retorno de envases (SDDR) que hoy está ya vigente en más de 40 países y regiones del mundo (entre ellos los más avanzados económica, social y medioambientalmente) – que mejoren los muy limitados resultados que el actual modelo SIG presenta y que hagan posible realmente la reutilización y el reciclaje, al mismo tiempo que evitan la contaminación y la suciedad en nuestro entorno, muy especialmente en el mar, donde los envases contaminan de manera grave e irreversible.</w:t>
      </w:r>
    </w:p>
    <w:p w:rsidR="00FE69F1" w:rsidRDefault="00FE69F1" w:rsidP="00FE69F1">
      <w:pPr>
        <w:jc w:val="both"/>
        <w:rPr>
          <w:b/>
          <w:iCs/>
          <w:sz w:val="24"/>
          <w:szCs w:val="24"/>
        </w:rPr>
      </w:pPr>
      <w:r>
        <w:rPr>
          <w:b/>
          <w:sz w:val="24"/>
          <w:szCs w:val="24"/>
        </w:rPr>
        <w:t>3.</w:t>
      </w:r>
      <w:r>
        <w:rPr>
          <w:sz w:val="24"/>
          <w:szCs w:val="24"/>
        </w:rPr>
        <w:t>-Poner en marcha todas las iniciativas posibles en materia de gestión y tratamiento de residuos que promuevan la economía circular, la disminución de la contaminación del territorio y de nuestras aguas, que conviertan los residuos en recursos de tal forma que se disminuya el consumo de materias primera y se reduzca la emisión de gases efecto invernadero, al mismo tiempo que se crean y se promueven nuevas actividades económicas y nuevos empleos ligados al sector de la economía verde.</w:t>
      </w:r>
    </w:p>
    <w:p w:rsidR="00FE69F1" w:rsidRDefault="00FE69F1" w:rsidP="00FE69F1">
      <w:pPr>
        <w:jc w:val="both"/>
        <w:rPr>
          <w:sz w:val="24"/>
          <w:szCs w:val="24"/>
        </w:rPr>
      </w:pPr>
      <w:r>
        <w:rPr>
          <w:b/>
          <w:iCs/>
          <w:sz w:val="24"/>
          <w:szCs w:val="24"/>
        </w:rPr>
        <w:t>4.-</w:t>
      </w:r>
      <w:r>
        <w:rPr>
          <w:iCs/>
          <w:sz w:val="24"/>
          <w:szCs w:val="24"/>
        </w:rPr>
        <w:t xml:space="preserve"> Sensibilizar a la población y a los agentes comerciales y económicos, para contribuir a los objetivos de prevención de la contaminación, evitar el agotamiento de recursos y luchar contra el cambio climático, potenciando una distribución y un consumo responsables.”</w:t>
      </w:r>
    </w:p>
    <w:p w:rsidR="00FE69F1" w:rsidRDefault="00FE69F1" w:rsidP="00FE69F1">
      <w:pPr>
        <w:ind w:left="4248" w:firstLine="708"/>
        <w:jc w:val="both"/>
        <w:rPr>
          <w:sz w:val="24"/>
          <w:szCs w:val="24"/>
        </w:rPr>
      </w:pPr>
      <w:r>
        <w:rPr>
          <w:sz w:val="24"/>
          <w:szCs w:val="24"/>
        </w:rPr>
        <w:t xml:space="preserve">          Congreso, 26 de abril de 2017</w:t>
      </w:r>
    </w:p>
    <w:p w:rsidR="00FE69F1" w:rsidRDefault="00FE69F1" w:rsidP="00FE69F1">
      <w:pPr>
        <w:ind w:left="4248" w:firstLine="708"/>
        <w:jc w:val="both"/>
        <w:rPr>
          <w:sz w:val="24"/>
          <w:szCs w:val="24"/>
        </w:rPr>
      </w:pPr>
    </w:p>
    <w:p w:rsidR="00FE69F1" w:rsidRPr="00CB686F" w:rsidRDefault="00FE69F1" w:rsidP="00FE69F1">
      <w:pPr>
        <w:jc w:val="both"/>
        <w:rPr>
          <w:b/>
          <w:sz w:val="24"/>
          <w:szCs w:val="24"/>
        </w:rPr>
      </w:pPr>
      <w:proofErr w:type="spellStart"/>
      <w:r w:rsidRPr="00CB686F">
        <w:rPr>
          <w:b/>
          <w:sz w:val="24"/>
          <w:szCs w:val="24"/>
        </w:rPr>
        <w:t>Enric</w:t>
      </w:r>
      <w:proofErr w:type="spellEnd"/>
      <w:r w:rsidRPr="00CB686F">
        <w:rPr>
          <w:b/>
          <w:sz w:val="24"/>
          <w:szCs w:val="24"/>
        </w:rPr>
        <w:t xml:space="preserve"> </w:t>
      </w:r>
      <w:proofErr w:type="spellStart"/>
      <w:r w:rsidRPr="00CB686F">
        <w:rPr>
          <w:b/>
          <w:sz w:val="24"/>
          <w:szCs w:val="24"/>
        </w:rPr>
        <w:t>Bataller</w:t>
      </w:r>
      <w:proofErr w:type="spellEnd"/>
      <w:r w:rsidRPr="00CB686F">
        <w:rPr>
          <w:b/>
          <w:sz w:val="24"/>
          <w:szCs w:val="24"/>
        </w:rPr>
        <w:t xml:space="preserve"> i Ruiz</w:t>
      </w:r>
      <w:r w:rsidRPr="00CB686F">
        <w:rPr>
          <w:b/>
          <w:sz w:val="24"/>
          <w:szCs w:val="24"/>
        </w:rPr>
        <w:tab/>
      </w:r>
      <w:r w:rsidRPr="00CB686F">
        <w:rPr>
          <w:b/>
          <w:sz w:val="24"/>
          <w:szCs w:val="24"/>
        </w:rPr>
        <w:tab/>
      </w:r>
      <w:r w:rsidRPr="00CB686F">
        <w:rPr>
          <w:b/>
          <w:sz w:val="24"/>
          <w:szCs w:val="24"/>
        </w:rPr>
        <w:tab/>
      </w:r>
      <w:r w:rsidRPr="00CB686F">
        <w:rPr>
          <w:b/>
          <w:sz w:val="24"/>
          <w:szCs w:val="24"/>
        </w:rPr>
        <w:tab/>
        <w:t xml:space="preserve">       </w:t>
      </w:r>
      <w:proofErr w:type="spellStart"/>
      <w:r w:rsidRPr="00CB686F">
        <w:rPr>
          <w:b/>
          <w:sz w:val="24"/>
          <w:szCs w:val="24"/>
        </w:rPr>
        <w:t>Juantxo</w:t>
      </w:r>
      <w:proofErr w:type="spellEnd"/>
      <w:r w:rsidRPr="00CB686F">
        <w:rPr>
          <w:b/>
          <w:sz w:val="24"/>
          <w:szCs w:val="24"/>
        </w:rPr>
        <w:t xml:space="preserve"> López de </w:t>
      </w:r>
      <w:proofErr w:type="spellStart"/>
      <w:r w:rsidRPr="00CB686F">
        <w:rPr>
          <w:b/>
          <w:sz w:val="24"/>
          <w:szCs w:val="24"/>
        </w:rPr>
        <w:t>Uralde</w:t>
      </w:r>
      <w:proofErr w:type="spellEnd"/>
      <w:r w:rsidRPr="00CB686F">
        <w:rPr>
          <w:b/>
          <w:sz w:val="24"/>
          <w:szCs w:val="24"/>
        </w:rPr>
        <w:t xml:space="preserve">  </w:t>
      </w:r>
    </w:p>
    <w:p w:rsidR="00FE69F1" w:rsidRDefault="00FE69F1" w:rsidP="00FE69F1">
      <w:pPr>
        <w:spacing w:after="0"/>
        <w:jc w:val="both"/>
        <w:rPr>
          <w:sz w:val="24"/>
          <w:szCs w:val="24"/>
        </w:rPr>
      </w:pPr>
      <w:r>
        <w:rPr>
          <w:sz w:val="24"/>
          <w:szCs w:val="24"/>
        </w:rPr>
        <w:t xml:space="preserve">Diputado de </w:t>
      </w:r>
      <w:proofErr w:type="spellStart"/>
      <w:r>
        <w:rPr>
          <w:sz w:val="24"/>
          <w:szCs w:val="24"/>
        </w:rPr>
        <w:t>Compromís</w:t>
      </w:r>
      <w:proofErr w:type="spellEnd"/>
      <w:r>
        <w:rPr>
          <w:sz w:val="24"/>
          <w:szCs w:val="24"/>
        </w:rPr>
        <w:tab/>
      </w:r>
      <w:r>
        <w:rPr>
          <w:sz w:val="24"/>
          <w:szCs w:val="24"/>
        </w:rPr>
        <w:tab/>
        <w:t xml:space="preserve">                     Diputado del </w:t>
      </w:r>
    </w:p>
    <w:p w:rsidR="00FE69F1" w:rsidRDefault="00FE69F1" w:rsidP="00FE69F1">
      <w:pPr>
        <w:spacing w:after="0"/>
        <w:ind w:left="4725" w:hanging="4725"/>
        <w:jc w:val="both"/>
        <w:rPr>
          <w:sz w:val="24"/>
          <w:szCs w:val="24"/>
        </w:rPr>
      </w:pPr>
      <w:r>
        <w:rPr>
          <w:sz w:val="24"/>
          <w:szCs w:val="24"/>
        </w:rPr>
        <w:lastRenderedPageBreak/>
        <w:t>GP Mixto</w:t>
      </w:r>
      <w:r>
        <w:rPr>
          <w:sz w:val="24"/>
          <w:szCs w:val="24"/>
        </w:rPr>
        <w:tab/>
        <w:t xml:space="preserve">GP Confederal de Unidos Podemos – En </w:t>
      </w:r>
      <w:proofErr w:type="spellStart"/>
      <w:r>
        <w:rPr>
          <w:sz w:val="24"/>
          <w:szCs w:val="24"/>
        </w:rPr>
        <w:t>Comú</w:t>
      </w:r>
      <w:proofErr w:type="spellEnd"/>
      <w:r>
        <w:rPr>
          <w:sz w:val="24"/>
          <w:szCs w:val="24"/>
        </w:rPr>
        <w:t xml:space="preserve"> </w:t>
      </w:r>
      <w:proofErr w:type="spellStart"/>
      <w:r>
        <w:rPr>
          <w:sz w:val="24"/>
          <w:szCs w:val="24"/>
        </w:rPr>
        <w:t>Podem</w:t>
      </w:r>
      <w:proofErr w:type="spellEnd"/>
      <w:r>
        <w:rPr>
          <w:sz w:val="24"/>
          <w:szCs w:val="24"/>
        </w:rPr>
        <w:t xml:space="preserve">- En Marea </w:t>
      </w:r>
    </w:p>
    <w:p w:rsidR="009C2D61" w:rsidRDefault="009C2D61"/>
    <w:sectPr w:rsidR="009C2D61" w:rsidSect="009C2D6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FE69F1"/>
    <w:rsid w:val="003F667F"/>
    <w:rsid w:val="009C2D61"/>
    <w:rsid w:val="00FE69F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9F1"/>
    <w:pPr>
      <w:suppressAutoHyphens/>
    </w:pPr>
    <w:rPr>
      <w:rFonts w:ascii="Calibri" w:eastAsia="SimSun" w:hAnsi="Calibri" w:cs="Calibri"/>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6">
    <w:name w:val="Pa6"/>
    <w:basedOn w:val="Normal"/>
    <w:rsid w:val="00FE69F1"/>
    <w:pPr>
      <w:spacing w:after="0" w:line="211" w:lineRule="atLeast"/>
    </w:pPr>
    <w:rPr>
      <w:rFonts w:ascii="Times New Roman" w:hAnsi="Times New Roman" w:cs="Times New Roman"/>
      <w:sz w:val="24"/>
      <w:szCs w:val="24"/>
    </w:rPr>
  </w:style>
  <w:style w:type="paragraph" w:customStyle="1" w:styleId="Pa8">
    <w:name w:val="Pa8"/>
    <w:basedOn w:val="Normal"/>
    <w:rsid w:val="00FE69F1"/>
    <w:pPr>
      <w:spacing w:after="0" w:line="211" w:lineRule="atLeast"/>
    </w:pPr>
    <w:rPr>
      <w:rFonts w:ascii="Times New Roman" w:hAnsi="Times New Roman" w:cs="Times New Roman"/>
      <w:sz w:val="24"/>
      <w:szCs w:val="24"/>
    </w:rPr>
  </w:style>
  <w:style w:type="paragraph" w:customStyle="1" w:styleId="Pa7">
    <w:name w:val="Pa7"/>
    <w:basedOn w:val="Normal"/>
    <w:rsid w:val="00FE69F1"/>
    <w:pPr>
      <w:spacing w:after="0" w:line="211" w:lineRule="atLeast"/>
    </w:pPr>
    <w:rPr>
      <w:rFonts w:ascii="Times New Roman" w:hAnsi="Times New Roman" w:cs="Times New Roman"/>
      <w:sz w:val="24"/>
      <w:szCs w:val="24"/>
    </w:rPr>
  </w:style>
  <w:style w:type="paragraph" w:styleId="Textodeglobo">
    <w:name w:val="Balloon Text"/>
    <w:basedOn w:val="Normal"/>
    <w:link w:val="TextodegloboCar"/>
    <w:uiPriority w:val="99"/>
    <w:semiHidden/>
    <w:unhideWhenUsed/>
    <w:rsid w:val="00FE69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E69F1"/>
    <w:rPr>
      <w:rFonts w:ascii="Tahoma" w:eastAsia="SimSu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8</Pages>
  <Words>2961</Words>
  <Characters>16286</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EADS-CASA</Company>
  <LinksUpToDate>false</LinksUpToDate>
  <CharactersWithSpaces>19209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2017-04-26T09:04:00Z</dcterms:created>
  <dcterms:modified xsi:type="dcterms:W3CDTF">2017-04-26T09:44:00Z</dcterms:modified>
</cp:coreProperties>
</file>